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B0" w:rsidRPr="00862D9C" w:rsidRDefault="003A29B0" w:rsidP="00497938">
      <w:pPr>
        <w:jc w:val="both"/>
        <w:rPr>
          <w:rFonts w:ascii="Arial" w:hAnsi="Arial" w:cs="Arial"/>
          <w:b/>
          <w:sz w:val="18"/>
          <w:szCs w:val="18"/>
        </w:rPr>
      </w:pPr>
    </w:p>
    <w:p w:rsidR="000642A8" w:rsidRPr="00862D9C" w:rsidRDefault="000642A8" w:rsidP="00623039">
      <w:pPr>
        <w:jc w:val="center"/>
        <w:rPr>
          <w:rFonts w:ascii="Franklin Gothic Medium" w:hAnsi="Franklin Gothic Medium" w:cs="Arial"/>
          <w:b/>
          <w:sz w:val="28"/>
          <w:szCs w:val="28"/>
        </w:rPr>
      </w:pPr>
      <w:r w:rsidRPr="00862D9C">
        <w:rPr>
          <w:rFonts w:ascii="Franklin Gothic Medium" w:hAnsi="Franklin Gothic Medium" w:cs="Arial"/>
          <w:b/>
          <w:sz w:val="28"/>
          <w:szCs w:val="28"/>
        </w:rPr>
        <w:t>INVITACIÓN A CUANDO MENOS TRES PERSONAS</w:t>
      </w:r>
    </w:p>
    <w:p w:rsidR="000642A8" w:rsidRDefault="000642A8" w:rsidP="0049793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72"/>
        <w:gridCol w:w="236"/>
        <w:gridCol w:w="5680"/>
      </w:tblGrid>
      <w:tr w:rsidR="00483C83" w:rsidRPr="000642A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 xml:space="preserve">PROYECTOS INTEGRALES DE BAJA CALIFORNIA, SA DE CV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PIBC</w:t>
            </w:r>
          </w:p>
        </w:tc>
      </w:tr>
      <w:tr w:rsidR="00483C83" w:rsidRPr="000642A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>ING. JORGE ALBERTO MAGAÑA DÍAZ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>MAGVEL CONSTRUCCIONES</w:t>
            </w:r>
          </w:p>
        </w:tc>
      </w:tr>
      <w:tr w:rsidR="00483C83" w:rsidRPr="000642A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>ING. MIGUEL JU</w:t>
            </w:r>
            <w:r w:rsidR="005A33B9">
              <w:rPr>
                <w:rFonts w:ascii="Arial" w:hAnsi="Arial" w:cs="Arial"/>
                <w:b/>
                <w:sz w:val="22"/>
                <w:szCs w:val="22"/>
              </w:rPr>
              <w:t>Á</w:t>
            </w:r>
            <w:r w:rsidRPr="000642A8">
              <w:rPr>
                <w:rFonts w:ascii="Arial" w:hAnsi="Arial" w:cs="Arial"/>
                <w:b/>
                <w:sz w:val="22"/>
                <w:szCs w:val="22"/>
              </w:rPr>
              <w:t>REZ GARC</w:t>
            </w:r>
            <w:r w:rsidR="005A33B9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0642A8">
              <w:rPr>
                <w:rFonts w:ascii="Arial" w:hAnsi="Arial" w:cs="Arial"/>
                <w:b/>
                <w:sz w:val="22"/>
                <w:szCs w:val="22"/>
              </w:rPr>
              <w:t xml:space="preserve">A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 xml:space="preserve">JUVE </w:t>
            </w:r>
            <w:r w:rsidRPr="00483C83">
              <w:rPr>
                <w:rFonts w:ascii="Arial" w:hAnsi="Arial" w:cs="Arial"/>
                <w:b/>
              </w:rPr>
              <w:t>SERVICIOS DE INGENIERÍA Y CONTRUCCIÓN</w:t>
            </w:r>
          </w:p>
        </w:tc>
      </w:tr>
      <w:tr w:rsidR="00483C83" w:rsidRPr="000642A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>PAYAN MART</w:t>
            </w:r>
            <w:r w:rsidR="005A33B9">
              <w:rPr>
                <w:rFonts w:ascii="Arial" w:hAnsi="Arial" w:cs="Arial"/>
                <w:b/>
                <w:sz w:val="22"/>
                <w:szCs w:val="22"/>
              </w:rPr>
              <w:t>Í</w:t>
            </w:r>
            <w:r w:rsidRPr="000642A8">
              <w:rPr>
                <w:rFonts w:ascii="Arial" w:hAnsi="Arial" w:cs="Arial"/>
                <w:b/>
                <w:sz w:val="22"/>
                <w:szCs w:val="22"/>
              </w:rPr>
              <w:t xml:space="preserve">NEZ, S.A. DE C.V. 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PAYMAR</w:t>
            </w:r>
          </w:p>
        </w:tc>
      </w:tr>
      <w:tr w:rsidR="00483C83" w:rsidRPr="000642A8"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>ING. JORGE ALFON</w:t>
            </w:r>
            <w:r w:rsidR="005A33B9">
              <w:rPr>
                <w:rFonts w:ascii="Arial" w:hAnsi="Arial" w:cs="Arial"/>
                <w:b/>
                <w:sz w:val="22"/>
                <w:szCs w:val="22"/>
              </w:rPr>
              <w:t>SO</w:t>
            </w:r>
            <w:r w:rsidRPr="000642A8">
              <w:rPr>
                <w:rFonts w:ascii="Arial" w:hAnsi="Arial" w:cs="Arial"/>
                <w:b/>
                <w:sz w:val="22"/>
                <w:szCs w:val="22"/>
              </w:rPr>
              <w:t xml:space="preserve"> JASSO TORRES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C83" w:rsidRPr="000642A8" w:rsidRDefault="00483C83" w:rsidP="00497938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642A8">
              <w:rPr>
                <w:rFonts w:ascii="Arial" w:hAnsi="Arial" w:cs="Arial"/>
                <w:b/>
                <w:sz w:val="22"/>
                <w:szCs w:val="22"/>
              </w:rPr>
              <w:t>JA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642A8">
              <w:rPr>
                <w:rFonts w:ascii="Arial" w:hAnsi="Arial" w:cs="Arial"/>
                <w:b/>
                <w:sz w:val="22"/>
                <w:szCs w:val="22"/>
              </w:rPr>
              <w:t xml:space="preserve">SO CONSTRUCTORA </w:t>
            </w:r>
          </w:p>
        </w:tc>
      </w:tr>
    </w:tbl>
    <w:p w:rsidR="000642A8" w:rsidRDefault="000642A8" w:rsidP="00497938">
      <w:pPr>
        <w:jc w:val="both"/>
        <w:rPr>
          <w:rFonts w:ascii="Arial" w:hAnsi="Arial" w:cs="Arial"/>
          <w:b/>
          <w:sz w:val="22"/>
          <w:szCs w:val="22"/>
        </w:rPr>
      </w:pPr>
    </w:p>
    <w:p w:rsidR="000642A8" w:rsidRDefault="000642A8" w:rsidP="00497938">
      <w:pPr>
        <w:jc w:val="both"/>
        <w:rPr>
          <w:rFonts w:ascii="Arial" w:hAnsi="Arial" w:cs="Arial"/>
          <w:sz w:val="18"/>
          <w:szCs w:val="18"/>
        </w:rPr>
      </w:pPr>
      <w:r w:rsidRPr="000642A8">
        <w:rPr>
          <w:rFonts w:ascii="Arial" w:hAnsi="Arial" w:cs="Arial"/>
          <w:sz w:val="18"/>
          <w:szCs w:val="18"/>
        </w:rPr>
        <w:t>En observancia a la Constitución Política de los Estados Unidos Mexicanos en s</w:t>
      </w:r>
      <w:r w:rsidR="00F46AB6">
        <w:rPr>
          <w:rFonts w:ascii="Arial" w:hAnsi="Arial" w:cs="Arial"/>
          <w:sz w:val="18"/>
          <w:szCs w:val="18"/>
        </w:rPr>
        <w:t>u</w:t>
      </w:r>
      <w:r w:rsidRPr="000642A8">
        <w:rPr>
          <w:rFonts w:ascii="Arial" w:hAnsi="Arial" w:cs="Arial"/>
          <w:sz w:val="18"/>
          <w:szCs w:val="18"/>
        </w:rPr>
        <w:t xml:space="preserve"> Art. 134, y de conformidad </w:t>
      </w:r>
      <w:r>
        <w:rPr>
          <w:rFonts w:ascii="Arial" w:hAnsi="Arial" w:cs="Arial"/>
          <w:sz w:val="18"/>
          <w:szCs w:val="18"/>
        </w:rPr>
        <w:t xml:space="preserve">con la Ley de Obras Públicas y Servicios Relacionados con las Mismas en su artículo 27 fracción II, se le invita a participar en el procedimiento licitatorio para la contratación de los trabajos de la </w:t>
      </w:r>
      <w:r w:rsidR="00623039">
        <w:rPr>
          <w:rFonts w:ascii="Franklin Gothic Medium" w:hAnsi="Franklin Gothic Medium" w:cs="Arial"/>
          <w:b/>
          <w:sz w:val="18"/>
          <w:szCs w:val="18"/>
        </w:rPr>
        <w:t>Losa de Entrepiso y Aula para Ciencias de la Computación</w:t>
      </w:r>
      <w:r w:rsidRPr="00F46AB6">
        <w:rPr>
          <w:rFonts w:ascii="Franklin Gothic Medium" w:hAnsi="Franklin Gothic Medium" w:cs="Arial"/>
          <w:b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El fondo Institucional del Fomento Regional para el Desarrollo Científico, Tecnológico y de Innovación </w:t>
      </w:r>
      <w:r w:rsidR="005B698A">
        <w:rPr>
          <w:rFonts w:ascii="Arial" w:hAnsi="Arial" w:cs="Arial"/>
          <w:sz w:val="18"/>
          <w:szCs w:val="18"/>
        </w:rPr>
        <w:t xml:space="preserve">autorizó al Centro de Investigación Científica y de Educación Superior de Ensenada, Baja California, los recursos para realizar la ejecución de los trabajos arriba mencionados. Los recursos están en disponibilidad para llevar a cabo el contrato a base de precios unitarios y tiempo determinado. El contrato se adjudica mediante el procedimiento de invitación a cuando menos tres personas que a continuación se describe: </w:t>
      </w:r>
    </w:p>
    <w:p w:rsidR="005B698A" w:rsidRDefault="005B698A" w:rsidP="0049793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1E0"/>
      </w:tblPr>
      <w:tblGrid>
        <w:gridCol w:w="1608"/>
        <w:gridCol w:w="2100"/>
        <w:gridCol w:w="1600"/>
        <w:gridCol w:w="1700"/>
        <w:gridCol w:w="1500"/>
        <w:gridCol w:w="2300"/>
      </w:tblGrid>
      <w:tr w:rsidR="005B698A">
        <w:tc>
          <w:tcPr>
            <w:tcW w:w="1608" w:type="dxa"/>
          </w:tcPr>
          <w:p w:rsidR="007329BF" w:rsidRDefault="007329BF" w:rsidP="00732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B698A" w:rsidRPr="007329BF" w:rsidRDefault="005B698A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9BF">
              <w:rPr>
                <w:rFonts w:ascii="Arial" w:hAnsi="Arial" w:cs="Arial"/>
                <w:b/>
                <w:sz w:val="18"/>
                <w:szCs w:val="18"/>
              </w:rPr>
              <w:t>No. de Concurso</w:t>
            </w:r>
          </w:p>
          <w:p w:rsidR="007329BF" w:rsidRDefault="007329BF" w:rsidP="007329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00" w:type="dxa"/>
          </w:tcPr>
          <w:p w:rsidR="007329BF" w:rsidRPr="007329BF" w:rsidRDefault="007329BF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98A" w:rsidRPr="007329BF" w:rsidRDefault="005B698A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9BF">
              <w:rPr>
                <w:rFonts w:ascii="Arial" w:hAnsi="Arial" w:cs="Arial"/>
                <w:b/>
                <w:sz w:val="18"/>
                <w:szCs w:val="18"/>
              </w:rPr>
              <w:t>Nombre de los Trabajos</w:t>
            </w:r>
          </w:p>
        </w:tc>
        <w:tc>
          <w:tcPr>
            <w:tcW w:w="1600" w:type="dxa"/>
          </w:tcPr>
          <w:p w:rsidR="007329BF" w:rsidRPr="007329BF" w:rsidRDefault="007329BF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98A" w:rsidRPr="007329BF" w:rsidRDefault="005B698A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9BF">
              <w:rPr>
                <w:rFonts w:ascii="Arial" w:hAnsi="Arial" w:cs="Arial"/>
                <w:b/>
                <w:sz w:val="18"/>
                <w:szCs w:val="18"/>
              </w:rPr>
              <w:t>Visita al lugar de los trabajos</w:t>
            </w:r>
          </w:p>
        </w:tc>
        <w:tc>
          <w:tcPr>
            <w:tcW w:w="1700" w:type="dxa"/>
          </w:tcPr>
          <w:p w:rsidR="007329BF" w:rsidRPr="007329BF" w:rsidRDefault="007329BF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98A" w:rsidRPr="007329BF" w:rsidRDefault="005B698A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9BF">
              <w:rPr>
                <w:rFonts w:ascii="Arial" w:hAnsi="Arial" w:cs="Arial"/>
                <w:b/>
                <w:sz w:val="18"/>
                <w:szCs w:val="18"/>
              </w:rPr>
              <w:t>Fecha límite para confirmar su participación</w:t>
            </w:r>
          </w:p>
          <w:p w:rsidR="007329BF" w:rsidRPr="007329BF" w:rsidRDefault="007329BF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00" w:type="dxa"/>
          </w:tcPr>
          <w:p w:rsidR="007329BF" w:rsidRPr="007329BF" w:rsidRDefault="007329BF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98A" w:rsidRPr="007329BF" w:rsidRDefault="005B698A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9BF">
              <w:rPr>
                <w:rFonts w:ascii="Arial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2300" w:type="dxa"/>
          </w:tcPr>
          <w:p w:rsidR="007329BF" w:rsidRPr="007329BF" w:rsidRDefault="007329BF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698A" w:rsidRPr="007329BF" w:rsidRDefault="005B698A" w:rsidP="007329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29BF">
              <w:rPr>
                <w:rFonts w:ascii="Arial" w:hAnsi="Arial" w:cs="Arial"/>
                <w:b/>
                <w:sz w:val="18"/>
                <w:szCs w:val="18"/>
              </w:rPr>
              <w:t>Presentación y Apertura de Propuestas técnicas y Económicas</w:t>
            </w:r>
          </w:p>
        </w:tc>
      </w:tr>
      <w:tr w:rsidR="005B698A">
        <w:tc>
          <w:tcPr>
            <w:tcW w:w="1608" w:type="dxa"/>
          </w:tcPr>
          <w:p w:rsidR="005A33B9" w:rsidRDefault="005A33B9" w:rsidP="00497938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5B698A" w:rsidRPr="005A33B9" w:rsidRDefault="00623039" w:rsidP="00497938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CIC-OP-002</w:t>
            </w:r>
            <w:r w:rsidR="005B698A" w:rsidRPr="005A33B9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="005A33B9" w:rsidRPr="005A33B9">
              <w:rPr>
                <w:rFonts w:ascii="Arial" w:hAnsi="Arial" w:cs="Arial"/>
                <w:b/>
                <w:sz w:val="16"/>
                <w:szCs w:val="16"/>
              </w:rPr>
              <w:t>2010</w:t>
            </w:r>
          </w:p>
        </w:tc>
        <w:tc>
          <w:tcPr>
            <w:tcW w:w="2100" w:type="dxa"/>
          </w:tcPr>
          <w:p w:rsidR="005B698A" w:rsidRDefault="00623039" w:rsidP="005A33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Losa de Entrepiso y Aula para Ciencias de la Computación</w:t>
            </w:r>
          </w:p>
        </w:tc>
        <w:tc>
          <w:tcPr>
            <w:tcW w:w="1600" w:type="dxa"/>
          </w:tcPr>
          <w:p w:rsidR="005A33B9" w:rsidRDefault="005B698A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5A33B9">
              <w:rPr>
                <w:rFonts w:ascii="Arial" w:hAnsi="Arial" w:cs="Arial"/>
                <w:sz w:val="18"/>
                <w:szCs w:val="18"/>
              </w:rPr>
              <w:t>4</w:t>
            </w:r>
            <w:r w:rsidR="007329BF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>mayo</w:t>
            </w:r>
            <w:r w:rsidR="007329B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 xml:space="preserve"> 2010</w:t>
            </w:r>
          </w:p>
          <w:p w:rsidR="005B698A" w:rsidRDefault="005A33B9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 las 10:00 hrs.</w:t>
            </w:r>
            <w:r w:rsidR="005B698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33B9" w:rsidRDefault="005A33B9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7329BF" w:rsidRDefault="005B698A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329BF">
              <w:rPr>
                <w:rFonts w:ascii="Arial" w:hAnsi="Arial" w:cs="Arial"/>
                <w:sz w:val="18"/>
                <w:szCs w:val="18"/>
              </w:rPr>
              <w:t xml:space="preserve"> -Ma</w:t>
            </w:r>
            <w:r>
              <w:rPr>
                <w:rFonts w:ascii="Arial" w:hAnsi="Arial" w:cs="Arial"/>
                <w:sz w:val="18"/>
                <w:szCs w:val="18"/>
              </w:rPr>
              <w:t>yo</w:t>
            </w:r>
            <w:r w:rsidR="007329BF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2010</w:t>
            </w:r>
          </w:p>
          <w:p w:rsidR="005B698A" w:rsidRDefault="005B698A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 las 1</w:t>
            </w:r>
            <w:r w:rsidR="005A33B9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 xml:space="preserve">:00 hrs. </w:t>
            </w:r>
          </w:p>
        </w:tc>
        <w:tc>
          <w:tcPr>
            <w:tcW w:w="1500" w:type="dxa"/>
          </w:tcPr>
          <w:p w:rsidR="007329BF" w:rsidRDefault="00E52387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  <w:r w:rsidR="007329BF">
              <w:rPr>
                <w:rFonts w:ascii="Arial" w:hAnsi="Arial" w:cs="Arial"/>
                <w:sz w:val="18"/>
                <w:szCs w:val="18"/>
              </w:rPr>
              <w:t xml:space="preserve"> -M</w:t>
            </w:r>
            <w:r>
              <w:rPr>
                <w:rFonts w:ascii="Arial" w:hAnsi="Arial" w:cs="Arial"/>
                <w:sz w:val="18"/>
                <w:szCs w:val="18"/>
              </w:rPr>
              <w:t>ayo</w:t>
            </w:r>
            <w:r w:rsidR="007329BF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 2010</w:t>
            </w:r>
          </w:p>
          <w:p w:rsidR="005B698A" w:rsidRDefault="00E52387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 las 10:00 hrs. </w:t>
            </w:r>
          </w:p>
        </w:tc>
        <w:tc>
          <w:tcPr>
            <w:tcW w:w="2300" w:type="dxa"/>
          </w:tcPr>
          <w:p w:rsidR="005B698A" w:rsidRDefault="00E52387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de junio 2010.</w:t>
            </w:r>
          </w:p>
          <w:p w:rsidR="00E52387" w:rsidRDefault="00E52387" w:rsidP="004979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10:00 hrs. </w:t>
            </w:r>
          </w:p>
        </w:tc>
      </w:tr>
    </w:tbl>
    <w:p w:rsidR="005B698A" w:rsidRDefault="005B698A" w:rsidP="00497938">
      <w:pPr>
        <w:jc w:val="both"/>
        <w:rPr>
          <w:rFonts w:ascii="Arial" w:hAnsi="Arial" w:cs="Arial"/>
          <w:sz w:val="18"/>
          <w:szCs w:val="18"/>
        </w:rPr>
      </w:pPr>
    </w:p>
    <w:p w:rsidR="005B698A" w:rsidRPr="00483C83" w:rsidRDefault="00483C83" w:rsidP="00497938">
      <w:pPr>
        <w:jc w:val="both"/>
        <w:rPr>
          <w:rFonts w:ascii="Franklin Gothic Medium" w:hAnsi="Franklin Gothic Medium" w:cs="Arial"/>
          <w:b/>
        </w:rPr>
      </w:pPr>
      <w:r w:rsidRPr="00483C83">
        <w:rPr>
          <w:rFonts w:ascii="Franklin Gothic Medium" w:hAnsi="Franklin Gothic Medium" w:cs="Arial"/>
          <w:b/>
        </w:rPr>
        <w:t>Lugares y fechas para los actos del procedimiento licitatorio:</w:t>
      </w:r>
    </w:p>
    <w:p w:rsidR="00483C83" w:rsidRPr="00483C83" w:rsidRDefault="00483C83" w:rsidP="00497938">
      <w:pPr>
        <w:jc w:val="both"/>
        <w:rPr>
          <w:rFonts w:ascii="Arial" w:hAnsi="Arial" w:cs="Arial"/>
          <w:b/>
        </w:rPr>
      </w:pPr>
    </w:p>
    <w:p w:rsidR="00F46AB6" w:rsidRDefault="00F46AB6" w:rsidP="00483C83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Junta de aclaraciones: 24 de mayo en el Departamento de Obras y Mantenimiento</w:t>
      </w:r>
    </w:p>
    <w:p w:rsidR="00483C83" w:rsidRDefault="00483C83" w:rsidP="00483C83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Lugar para presentación y apertura de propuestas técnicas y económicas: Sala Audiovisual de Biblioteca  1er. Piso </w:t>
      </w:r>
    </w:p>
    <w:p w:rsidR="00483C83" w:rsidRDefault="00483C83" w:rsidP="00483C83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Ubicación del sitio donde se realizarán las obras concursadas: Campus CICESE</w:t>
      </w:r>
    </w:p>
    <w:p w:rsidR="00F46AB6" w:rsidRDefault="00F46AB6" w:rsidP="00483C83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Fecha de presentación y apertura de propuestas técnicas y económicas: 4 de junio del 2010.</w:t>
      </w:r>
    </w:p>
    <w:p w:rsidR="00F46AB6" w:rsidRDefault="00F46AB6" w:rsidP="00F46AB6">
      <w:pPr>
        <w:jc w:val="both"/>
        <w:rPr>
          <w:rFonts w:ascii="Arial" w:hAnsi="Arial" w:cs="Arial"/>
          <w:sz w:val="18"/>
          <w:szCs w:val="18"/>
        </w:rPr>
      </w:pPr>
    </w:p>
    <w:p w:rsidR="00F46AB6" w:rsidRPr="000642A8" w:rsidRDefault="00F46AB6" w:rsidP="00F46AB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requisitos de participación se encuentran disponibles para consulta en las oficinas del Departamento de Obras y Mantenimiento de CICESE, sitas en carretera Tijuana-Ensenada No. 3918, Pedregal Playitas, C.P. 22860, Ensenada, Baja California, edificio administrativo 1er. Nivel, teléfono 646) 175-0500 Extensión 22405, Fax 646) 175-0543, </w:t>
      </w:r>
      <w:r w:rsidR="005A33B9">
        <w:rPr>
          <w:rFonts w:ascii="Arial" w:hAnsi="Arial" w:cs="Arial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 xml:space="preserve"> días hábiles de lunes a viernes con horario de 8:00 a 14:30 horas. </w:t>
      </w:r>
    </w:p>
    <w:p w:rsidR="000642A8" w:rsidRDefault="000642A8" w:rsidP="00497938">
      <w:pPr>
        <w:jc w:val="both"/>
        <w:rPr>
          <w:rFonts w:ascii="Arial" w:hAnsi="Arial" w:cs="Arial"/>
          <w:sz w:val="18"/>
          <w:szCs w:val="18"/>
        </w:rPr>
      </w:pPr>
    </w:p>
    <w:p w:rsidR="00F46AB6" w:rsidRPr="00B078E1" w:rsidRDefault="00F46AB6" w:rsidP="00497938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idioma en que deberá presentarse la proposición será: </w:t>
      </w:r>
      <w:r w:rsidRPr="00B078E1">
        <w:rPr>
          <w:rFonts w:ascii="Arial" w:hAnsi="Arial" w:cs="Arial"/>
          <w:b/>
          <w:sz w:val="18"/>
          <w:szCs w:val="18"/>
        </w:rPr>
        <w:t>Español</w:t>
      </w:r>
    </w:p>
    <w:p w:rsidR="00F46AB6" w:rsidRDefault="00F46AB6" w:rsidP="00497938">
      <w:pPr>
        <w:jc w:val="both"/>
        <w:rPr>
          <w:rFonts w:ascii="Arial" w:hAnsi="Arial" w:cs="Arial"/>
          <w:sz w:val="18"/>
          <w:szCs w:val="18"/>
        </w:rPr>
      </w:pPr>
    </w:p>
    <w:p w:rsidR="00F46AB6" w:rsidRDefault="00F46AB6" w:rsidP="004979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 moneda en que deberán cotizar las proposiciones será: </w:t>
      </w:r>
      <w:r w:rsidRPr="00283ADD">
        <w:rPr>
          <w:rFonts w:ascii="Arial" w:hAnsi="Arial" w:cs="Arial"/>
          <w:b/>
          <w:sz w:val="18"/>
          <w:szCs w:val="18"/>
        </w:rPr>
        <w:t>Peso Mexicano</w:t>
      </w:r>
    </w:p>
    <w:p w:rsidR="00F46AB6" w:rsidRDefault="00F46AB6" w:rsidP="00497938">
      <w:pPr>
        <w:jc w:val="both"/>
        <w:rPr>
          <w:rFonts w:ascii="Arial" w:hAnsi="Arial" w:cs="Arial"/>
          <w:sz w:val="18"/>
          <w:szCs w:val="18"/>
        </w:rPr>
      </w:pPr>
    </w:p>
    <w:p w:rsidR="00F46AB6" w:rsidRDefault="00F46AB6" w:rsidP="004979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otorgará un 30% de anticipo del importe </w:t>
      </w:r>
      <w:r w:rsidR="00B078E1">
        <w:rPr>
          <w:rFonts w:ascii="Arial" w:hAnsi="Arial" w:cs="Arial"/>
          <w:sz w:val="18"/>
          <w:szCs w:val="18"/>
        </w:rPr>
        <w:t>contratado, para compra de materiales e inicio de lo trabajos.</w:t>
      </w:r>
    </w:p>
    <w:p w:rsidR="00B078E1" w:rsidRDefault="00B078E1" w:rsidP="00497938">
      <w:pPr>
        <w:jc w:val="both"/>
        <w:rPr>
          <w:rFonts w:ascii="Arial" w:hAnsi="Arial" w:cs="Arial"/>
          <w:sz w:val="18"/>
          <w:szCs w:val="18"/>
        </w:rPr>
      </w:pPr>
    </w:p>
    <w:p w:rsidR="00B078E1" w:rsidRPr="000642A8" w:rsidRDefault="00B078E1" w:rsidP="004979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experiencia, capacidad técnica y financiera que deberán acreditar los interesados consiste en: haber realizado ob</w:t>
      </w:r>
      <w:r w:rsidR="00283ADD">
        <w:rPr>
          <w:rFonts w:ascii="Arial" w:hAnsi="Arial" w:cs="Arial"/>
          <w:sz w:val="18"/>
          <w:szCs w:val="18"/>
        </w:rPr>
        <w:t>ras de naturaleza similar a los trabajos de este concurso, acreditándola con carátulas de contratos, actas de entrega de recepción de las obras construidas por la empresa, curriculums del personal directivo, administrativo y de ejecución de los trabajos.</w:t>
      </w:r>
    </w:p>
    <w:p w:rsidR="000642A8" w:rsidRDefault="000642A8" w:rsidP="00497938">
      <w:pPr>
        <w:jc w:val="both"/>
        <w:rPr>
          <w:rFonts w:ascii="Arial" w:hAnsi="Arial" w:cs="Arial"/>
          <w:sz w:val="18"/>
          <w:szCs w:val="18"/>
        </w:rPr>
      </w:pPr>
    </w:p>
    <w:p w:rsidR="00283ADD" w:rsidRDefault="00283ADD" w:rsidP="0049793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Son requisitos generales que deberán acreditar los interesados para su inscripción en el proceso licitatorio: </w:t>
      </w:r>
    </w:p>
    <w:p w:rsidR="00283ADD" w:rsidRDefault="00283ADD" w:rsidP="00497938">
      <w:pPr>
        <w:jc w:val="both"/>
        <w:rPr>
          <w:rFonts w:ascii="Arial" w:hAnsi="Arial" w:cs="Arial"/>
          <w:sz w:val="18"/>
          <w:szCs w:val="18"/>
        </w:rPr>
      </w:pPr>
    </w:p>
    <w:p w:rsidR="00283ADD" w:rsidRDefault="00283ADD" w:rsidP="00283ADD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Oficio dirigido a CICESE, solicitando su inscripción al concurso, firmado por el Representante Legal de la empresa, declarando haber revisado los requisitos de participación  de la invitación a cuando menos tres personas de fecha 21 de mayo del 2010 y su compromiso de cumplimiento a todas y cada una de las disposiciones. </w:t>
      </w:r>
    </w:p>
    <w:p w:rsidR="00283ADD" w:rsidRDefault="00283ADD" w:rsidP="00283ADD">
      <w:pPr>
        <w:jc w:val="both"/>
        <w:rPr>
          <w:rFonts w:ascii="Arial" w:hAnsi="Arial" w:cs="Arial"/>
          <w:sz w:val="18"/>
          <w:szCs w:val="18"/>
        </w:rPr>
      </w:pPr>
    </w:p>
    <w:p w:rsidR="00283ADD" w:rsidRDefault="00283ADD" w:rsidP="00283ADD">
      <w:pPr>
        <w:jc w:val="both"/>
        <w:rPr>
          <w:rFonts w:ascii="Arial" w:hAnsi="Arial" w:cs="Arial"/>
          <w:sz w:val="18"/>
          <w:szCs w:val="18"/>
        </w:rPr>
      </w:pPr>
    </w:p>
    <w:p w:rsidR="00283ADD" w:rsidRDefault="00283ADD" w:rsidP="00283ADD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Documentación que compruebe el capital contable requerido, por un importe de $300,000.00 (Trescientos mil pesos 00/100 M.N.)</w:t>
      </w:r>
      <w:r w:rsidR="00150FAF">
        <w:rPr>
          <w:rFonts w:ascii="Arial" w:hAnsi="Arial" w:cs="Arial"/>
          <w:sz w:val="18"/>
          <w:szCs w:val="18"/>
        </w:rPr>
        <w:t xml:space="preserve">, que acreditará con base en la declaración anual del ISR del ejercicio 2009 ó con el último estado financiero </w:t>
      </w:r>
      <w:r w:rsidR="00E159A5">
        <w:rPr>
          <w:rFonts w:ascii="Arial" w:hAnsi="Arial" w:cs="Arial"/>
          <w:sz w:val="18"/>
          <w:szCs w:val="18"/>
        </w:rPr>
        <w:t xml:space="preserve">auditado por contador externo, debiendo anexar copia de la cédula profesional del auditor y registro de éste ante la S.H.C.P.  El balance lo deberá presentar en papel membretado </w:t>
      </w:r>
      <w:r w:rsidR="000446EF">
        <w:rPr>
          <w:rFonts w:ascii="Arial" w:hAnsi="Arial" w:cs="Arial"/>
          <w:sz w:val="18"/>
          <w:szCs w:val="18"/>
        </w:rPr>
        <w:t xml:space="preserve">del auditor, anexando resultado de la auditoria. </w:t>
      </w:r>
    </w:p>
    <w:p w:rsidR="000446EF" w:rsidRDefault="000446EF" w:rsidP="000446EF">
      <w:pPr>
        <w:jc w:val="both"/>
        <w:rPr>
          <w:rFonts w:ascii="Arial" w:hAnsi="Arial" w:cs="Arial"/>
          <w:sz w:val="18"/>
          <w:szCs w:val="18"/>
        </w:rPr>
      </w:pPr>
    </w:p>
    <w:p w:rsidR="000446EF" w:rsidRDefault="000446EF" w:rsidP="00283ADD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Declaración escrita y bajo protesta de decir verdad, de no encontrarse en los supuestos del Artículo 51 y 78 penúltimo párrafo de la Ley de Obras Públicas y Servicios Relacionados con las Mismas </w:t>
      </w:r>
      <w:r w:rsidR="00AF0B6E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 xml:space="preserve">LOPSRM). Además en este mismo escrito declarará que por su conducto no participan en el procedimiento de contratación, personas </w:t>
      </w:r>
      <w:r w:rsidR="002F1D2E">
        <w:rPr>
          <w:rFonts w:ascii="Arial" w:hAnsi="Arial" w:cs="Arial"/>
          <w:sz w:val="18"/>
          <w:szCs w:val="18"/>
        </w:rPr>
        <w:t>que</w:t>
      </w:r>
      <w:r>
        <w:rPr>
          <w:rFonts w:ascii="Arial" w:hAnsi="Arial" w:cs="Arial"/>
          <w:sz w:val="18"/>
          <w:szCs w:val="18"/>
        </w:rPr>
        <w:t xml:space="preserve"> se encuentren inhabilitadas por resolución de la Secretaría de la Función Pública (de acuerdo con el artículo 33 fracc</w:t>
      </w:r>
      <w:r w:rsidR="002F1D2E">
        <w:rPr>
          <w:rFonts w:ascii="Arial" w:hAnsi="Arial" w:cs="Arial"/>
          <w:sz w:val="18"/>
          <w:szCs w:val="18"/>
        </w:rPr>
        <w:t>ión</w:t>
      </w:r>
      <w:r>
        <w:rPr>
          <w:rFonts w:ascii="Arial" w:hAnsi="Arial" w:cs="Arial"/>
          <w:sz w:val="18"/>
          <w:szCs w:val="18"/>
        </w:rPr>
        <w:t xml:space="preserve"> XXIII de la LOPSRM. </w:t>
      </w:r>
    </w:p>
    <w:p w:rsidR="002F1D2E" w:rsidRDefault="002F1D2E" w:rsidP="002F1D2E">
      <w:pPr>
        <w:jc w:val="both"/>
        <w:rPr>
          <w:rFonts w:ascii="Arial" w:hAnsi="Arial" w:cs="Arial"/>
          <w:sz w:val="18"/>
          <w:szCs w:val="18"/>
        </w:rPr>
      </w:pPr>
    </w:p>
    <w:p w:rsidR="002F1D2E" w:rsidRDefault="002F1D2E" w:rsidP="002F1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(En el caso de asociación en participación, los requisitos deberán ser presentados por cada uno de los asociados y asociantes, así como el contrato simple de asociación). </w:t>
      </w:r>
    </w:p>
    <w:p w:rsidR="002F1D2E" w:rsidRDefault="002F1D2E" w:rsidP="002F1D2E">
      <w:pPr>
        <w:jc w:val="both"/>
        <w:rPr>
          <w:rFonts w:ascii="Arial" w:hAnsi="Arial" w:cs="Arial"/>
          <w:sz w:val="18"/>
          <w:szCs w:val="18"/>
        </w:rPr>
      </w:pPr>
    </w:p>
    <w:p w:rsidR="002F1D2E" w:rsidRPr="007329BF" w:rsidRDefault="002F1D2E" w:rsidP="002F1D2E">
      <w:pPr>
        <w:jc w:val="both"/>
        <w:rPr>
          <w:rFonts w:ascii="Franklin Gothic Medium" w:hAnsi="Franklin Gothic Medium" w:cs="Arial"/>
          <w:b/>
          <w:sz w:val="18"/>
          <w:szCs w:val="18"/>
        </w:rPr>
      </w:pPr>
      <w:r w:rsidRPr="007329BF">
        <w:rPr>
          <w:rFonts w:ascii="Franklin Gothic Medium" w:hAnsi="Franklin Gothic Medium" w:cs="Arial"/>
          <w:b/>
          <w:sz w:val="18"/>
          <w:szCs w:val="18"/>
        </w:rPr>
        <w:t xml:space="preserve">El criterio de adjudicación será: </w:t>
      </w:r>
    </w:p>
    <w:p w:rsidR="002F1D2E" w:rsidRDefault="002F1D2E" w:rsidP="002F1D2E">
      <w:pPr>
        <w:jc w:val="both"/>
        <w:rPr>
          <w:rFonts w:ascii="Arial" w:hAnsi="Arial" w:cs="Arial"/>
          <w:sz w:val="18"/>
          <w:szCs w:val="18"/>
        </w:rPr>
      </w:pPr>
    </w:p>
    <w:p w:rsidR="002F1D2E" w:rsidRDefault="002F1D2E" w:rsidP="002F1D2E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criterio general para la adjudicación del contrato será: Una vez hecha la evaluación de las proposiciones, se adjudicará el contrato a la persona que de entre los concursantes, reúna las condiciones legales, técnicas y económicas, requeridas por la convocante, garantice satisfactoriamente el cumplimiento de las obligaciones respectivas y haya presentado la propuesta económicamente mas conveniente para el CICESE, en congruencia con lo estipulado en los artículos 36, 37C y 38 del Reglamento de la LOPSRM, así como el lineamiento Décimo tercero del </w:t>
      </w:r>
      <w:r w:rsidR="00922E77" w:rsidRPr="00922E77">
        <w:rPr>
          <w:rFonts w:ascii="Arial" w:hAnsi="Arial" w:cs="Arial"/>
          <w:b/>
          <w:sz w:val="18"/>
          <w:szCs w:val="18"/>
        </w:rPr>
        <w:t>“</w:t>
      </w:r>
      <w:r w:rsidRPr="00922E77">
        <w:rPr>
          <w:rFonts w:ascii="Arial" w:hAnsi="Arial" w:cs="Arial"/>
          <w:b/>
          <w:sz w:val="18"/>
          <w:szCs w:val="18"/>
        </w:rPr>
        <w:t xml:space="preserve">Acuerdo por el que se establecen los Lineamientos que regulan la disposición contenida en el artículo 38 de la LOPSRM, relativa </w:t>
      </w:r>
      <w:r w:rsidR="00922E77" w:rsidRPr="00922E77">
        <w:rPr>
          <w:rFonts w:ascii="Arial" w:hAnsi="Arial" w:cs="Arial"/>
          <w:b/>
          <w:sz w:val="18"/>
          <w:szCs w:val="18"/>
        </w:rPr>
        <w:t>a la propuesta que resulte económicamente mas conveniente para el Estado”</w:t>
      </w:r>
    </w:p>
    <w:p w:rsidR="00922E77" w:rsidRDefault="00922E77" w:rsidP="002F1D2E">
      <w:pPr>
        <w:jc w:val="both"/>
        <w:rPr>
          <w:rFonts w:ascii="Arial" w:hAnsi="Arial" w:cs="Arial"/>
          <w:b/>
          <w:sz w:val="18"/>
          <w:szCs w:val="18"/>
        </w:rPr>
      </w:pPr>
    </w:p>
    <w:p w:rsidR="00922E77" w:rsidRDefault="00922E77" w:rsidP="002F1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Ninguna de las condiciones contenidas en la invitación a cuando menos tres personas el día </w:t>
      </w:r>
      <w:r w:rsidR="00623039">
        <w:rPr>
          <w:rFonts w:ascii="Arial" w:hAnsi="Arial" w:cs="Arial"/>
          <w:sz w:val="18"/>
          <w:szCs w:val="18"/>
        </w:rPr>
        <w:t>26</w:t>
      </w:r>
      <w:r>
        <w:rPr>
          <w:rFonts w:ascii="Arial" w:hAnsi="Arial" w:cs="Arial"/>
          <w:sz w:val="18"/>
          <w:szCs w:val="18"/>
        </w:rPr>
        <w:t xml:space="preserve"> de mayo de 2010, en los requisitos de participación, así como las proposiciones presentadas, podrán ser negociadas. </w:t>
      </w:r>
    </w:p>
    <w:p w:rsidR="00922E77" w:rsidRDefault="00922E77" w:rsidP="002F1D2E">
      <w:pPr>
        <w:jc w:val="both"/>
        <w:rPr>
          <w:rFonts w:ascii="Arial" w:hAnsi="Arial" w:cs="Arial"/>
          <w:sz w:val="18"/>
          <w:szCs w:val="18"/>
        </w:rPr>
      </w:pPr>
    </w:p>
    <w:p w:rsidR="00922E77" w:rsidRDefault="00922E77" w:rsidP="002F1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efectos del presente concurso no se podrán subcontratar partes de la obra. </w:t>
      </w:r>
    </w:p>
    <w:p w:rsidR="00922E77" w:rsidRDefault="00922E77" w:rsidP="002F1D2E">
      <w:pPr>
        <w:jc w:val="both"/>
        <w:rPr>
          <w:rFonts w:ascii="Arial" w:hAnsi="Arial" w:cs="Arial"/>
          <w:sz w:val="18"/>
          <w:szCs w:val="18"/>
        </w:rPr>
      </w:pPr>
    </w:p>
    <w:p w:rsidR="00922E77" w:rsidRDefault="00922E77" w:rsidP="002F1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Cualquier persona podrá participar como observador en los diferentes actos públicos de los concursos citados, sin necesidad de adquirir las bases, registrando previamente su participación. </w:t>
      </w:r>
    </w:p>
    <w:p w:rsidR="00922E77" w:rsidRDefault="00922E77" w:rsidP="002F1D2E">
      <w:pPr>
        <w:jc w:val="both"/>
        <w:rPr>
          <w:rFonts w:ascii="Arial" w:hAnsi="Arial" w:cs="Arial"/>
          <w:sz w:val="18"/>
          <w:szCs w:val="18"/>
        </w:rPr>
      </w:pPr>
    </w:p>
    <w:p w:rsidR="00922E77" w:rsidRDefault="007329BF" w:rsidP="002F1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Las condiciones de pago son: Mediante estimaciones por conceptos de trabajos terminados. El plazo de pago será de acuerdo con lo estipulado en el Artículo 54 de la Ley de Obras Públicas y Servicios Relacionados con las Mismas. </w:t>
      </w:r>
    </w:p>
    <w:p w:rsidR="007329BF" w:rsidRDefault="007329BF" w:rsidP="002F1D2E">
      <w:pPr>
        <w:jc w:val="both"/>
        <w:rPr>
          <w:rFonts w:ascii="Arial" w:hAnsi="Arial" w:cs="Arial"/>
          <w:sz w:val="18"/>
          <w:szCs w:val="18"/>
        </w:rPr>
      </w:pPr>
    </w:p>
    <w:p w:rsidR="007329BF" w:rsidRDefault="007329BF" w:rsidP="002F1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mayor información consultar los requisitos de participación en el presente procesos licitatorio. </w:t>
      </w:r>
    </w:p>
    <w:p w:rsidR="007329BF" w:rsidRDefault="007329BF" w:rsidP="002F1D2E">
      <w:pPr>
        <w:jc w:val="both"/>
        <w:rPr>
          <w:rFonts w:ascii="Arial" w:hAnsi="Arial" w:cs="Arial"/>
          <w:sz w:val="18"/>
          <w:szCs w:val="18"/>
        </w:rPr>
      </w:pPr>
    </w:p>
    <w:p w:rsidR="007329BF" w:rsidRPr="00922E77" w:rsidRDefault="007329BF" w:rsidP="002F1D2E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Todo lo no previsto en la presente invitación, será resulto por CICESE, con base a lo estipulado por la Ley Obras Públicas y Servicios Relacionados con las Mismas y su Reglamento.</w:t>
      </w:r>
    </w:p>
    <w:p w:rsidR="00283ADD" w:rsidRDefault="000446EF" w:rsidP="00283AD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83ADD" w:rsidRDefault="00283ADD" w:rsidP="00283ADD">
      <w:pPr>
        <w:jc w:val="both"/>
        <w:rPr>
          <w:rFonts w:ascii="Arial" w:hAnsi="Arial" w:cs="Arial"/>
          <w:sz w:val="18"/>
          <w:szCs w:val="18"/>
        </w:rPr>
      </w:pPr>
    </w:p>
    <w:p w:rsidR="00A1072A" w:rsidRPr="00141420" w:rsidRDefault="00A1072A" w:rsidP="007A13AF">
      <w:pPr>
        <w:pStyle w:val="Textoindependiente"/>
        <w:rPr>
          <w:rFonts w:cs="Arial"/>
          <w:b/>
          <w:sz w:val="20"/>
          <w:lang w:val="es-MX"/>
        </w:rPr>
      </w:pPr>
    </w:p>
    <w:p w:rsidR="007A13AF" w:rsidRPr="007329BF" w:rsidRDefault="007329BF" w:rsidP="007329BF">
      <w:pPr>
        <w:pStyle w:val="Textoindependiente"/>
        <w:jc w:val="center"/>
        <w:rPr>
          <w:rFonts w:ascii="Franklin Gothic Medium" w:hAnsi="Franklin Gothic Medium" w:cs="Arial"/>
          <w:b/>
          <w:szCs w:val="24"/>
        </w:rPr>
      </w:pPr>
      <w:r w:rsidRPr="007329BF">
        <w:rPr>
          <w:rFonts w:ascii="Franklin Gothic Medium" w:hAnsi="Franklin Gothic Medium" w:cs="Arial"/>
          <w:b/>
          <w:szCs w:val="24"/>
        </w:rPr>
        <w:t>CENTRO DE INVESTIGACIÓN CIENTÍFICA Y DE EDUCACIÓN</w:t>
      </w:r>
    </w:p>
    <w:p w:rsidR="007329BF" w:rsidRPr="007329BF" w:rsidRDefault="007329BF" w:rsidP="007329BF">
      <w:pPr>
        <w:pStyle w:val="Textoindependiente"/>
        <w:jc w:val="center"/>
        <w:rPr>
          <w:rFonts w:ascii="Franklin Gothic Medium" w:hAnsi="Franklin Gothic Medium" w:cs="Arial"/>
          <w:b/>
          <w:szCs w:val="24"/>
        </w:rPr>
      </w:pPr>
      <w:r w:rsidRPr="007329BF">
        <w:rPr>
          <w:rFonts w:ascii="Franklin Gothic Medium" w:hAnsi="Franklin Gothic Medium" w:cs="Arial"/>
          <w:b/>
          <w:szCs w:val="24"/>
        </w:rPr>
        <w:t>SUPERIOR DE ENSENADA, BAJA CALIFORNIA</w:t>
      </w:r>
    </w:p>
    <w:p w:rsidR="007A13AF" w:rsidRPr="007329BF" w:rsidRDefault="007A13AF" w:rsidP="007329BF">
      <w:pPr>
        <w:pStyle w:val="Textoindependiente"/>
        <w:jc w:val="center"/>
        <w:rPr>
          <w:rFonts w:ascii="Franklin Gothic Medium" w:hAnsi="Franklin Gothic Medium" w:cs="Arial"/>
          <w:szCs w:val="24"/>
        </w:rPr>
      </w:pPr>
    </w:p>
    <w:p w:rsidR="00141420" w:rsidRPr="007329BF" w:rsidRDefault="00141420" w:rsidP="007329BF">
      <w:pPr>
        <w:pStyle w:val="Textoindependiente"/>
        <w:jc w:val="center"/>
        <w:rPr>
          <w:rFonts w:ascii="Franklin Gothic Medium" w:hAnsi="Franklin Gothic Medium" w:cs="Arial"/>
          <w:szCs w:val="24"/>
        </w:rPr>
      </w:pPr>
    </w:p>
    <w:p w:rsidR="00D27295" w:rsidRPr="007329BF" w:rsidRDefault="00D27295" w:rsidP="007329BF">
      <w:pPr>
        <w:pStyle w:val="Textoindependiente"/>
        <w:jc w:val="center"/>
        <w:rPr>
          <w:rFonts w:ascii="Franklin Gothic Medium" w:hAnsi="Franklin Gothic Medium" w:cs="Arial"/>
          <w:szCs w:val="24"/>
        </w:rPr>
      </w:pPr>
    </w:p>
    <w:p w:rsidR="007A13AF" w:rsidRPr="007329BF" w:rsidRDefault="007A13AF" w:rsidP="007329BF">
      <w:pPr>
        <w:pStyle w:val="Textoindependiente"/>
        <w:jc w:val="center"/>
        <w:rPr>
          <w:rFonts w:ascii="Franklin Gothic Medium" w:hAnsi="Franklin Gothic Medium" w:cs="Arial"/>
          <w:szCs w:val="24"/>
        </w:rPr>
      </w:pPr>
    </w:p>
    <w:p w:rsidR="007A13AF" w:rsidRPr="007329BF" w:rsidRDefault="002C6C45" w:rsidP="007329BF">
      <w:pPr>
        <w:pStyle w:val="Textoindependiente"/>
        <w:jc w:val="center"/>
        <w:rPr>
          <w:rFonts w:ascii="Franklin Gothic Medium" w:hAnsi="Franklin Gothic Medium" w:cs="Arial"/>
          <w:b/>
          <w:szCs w:val="24"/>
        </w:rPr>
      </w:pPr>
      <w:r w:rsidRPr="007329BF">
        <w:rPr>
          <w:rFonts w:ascii="Franklin Gothic Medium" w:hAnsi="Franklin Gothic Medium" w:cs="Arial"/>
          <w:b/>
          <w:szCs w:val="24"/>
        </w:rPr>
        <w:t>C.P. H</w:t>
      </w:r>
      <w:r w:rsidR="007329BF">
        <w:rPr>
          <w:rFonts w:ascii="Franklin Gothic Medium" w:hAnsi="Franklin Gothic Medium" w:cs="Arial"/>
          <w:b/>
          <w:szCs w:val="24"/>
        </w:rPr>
        <w:t>É</w:t>
      </w:r>
      <w:r w:rsidRPr="007329BF">
        <w:rPr>
          <w:rFonts w:ascii="Franklin Gothic Medium" w:hAnsi="Franklin Gothic Medium" w:cs="Arial"/>
          <w:b/>
          <w:szCs w:val="24"/>
        </w:rPr>
        <w:t>CTOR SANTILL</w:t>
      </w:r>
      <w:r w:rsidR="007329BF">
        <w:rPr>
          <w:rFonts w:ascii="Franklin Gothic Medium" w:hAnsi="Franklin Gothic Medium" w:cs="Arial"/>
          <w:b/>
          <w:szCs w:val="24"/>
        </w:rPr>
        <w:t>Á</w:t>
      </w:r>
      <w:r w:rsidRPr="007329BF">
        <w:rPr>
          <w:rFonts w:ascii="Franklin Gothic Medium" w:hAnsi="Franklin Gothic Medium" w:cs="Arial"/>
          <w:b/>
          <w:szCs w:val="24"/>
        </w:rPr>
        <w:t>N HERRERA</w:t>
      </w:r>
    </w:p>
    <w:p w:rsidR="007A13AF" w:rsidRPr="007329BF" w:rsidRDefault="002C6C45" w:rsidP="007329BF">
      <w:pPr>
        <w:pStyle w:val="Textoindependiente"/>
        <w:jc w:val="center"/>
        <w:rPr>
          <w:rFonts w:ascii="Franklin Gothic Medium" w:hAnsi="Franklin Gothic Medium" w:cs="Arial"/>
          <w:b/>
          <w:sz w:val="22"/>
          <w:szCs w:val="22"/>
        </w:rPr>
      </w:pPr>
      <w:r w:rsidRPr="007329BF">
        <w:rPr>
          <w:rFonts w:ascii="Franklin Gothic Medium" w:hAnsi="Franklin Gothic Medium" w:cs="Arial"/>
          <w:b/>
          <w:sz w:val="22"/>
          <w:szCs w:val="22"/>
        </w:rPr>
        <w:t>SUBDIRECTOR DE RECURSOS MATERIALES Y SERVICIOS</w:t>
      </w:r>
    </w:p>
    <w:p w:rsidR="008B28C1" w:rsidRPr="007329BF" w:rsidRDefault="008B28C1" w:rsidP="007A13AF">
      <w:pPr>
        <w:pStyle w:val="Textoindependiente"/>
        <w:jc w:val="center"/>
        <w:rPr>
          <w:rFonts w:ascii="Franklin Gothic Medium" w:hAnsi="Franklin Gothic Medium" w:cs="Arial"/>
          <w:szCs w:val="24"/>
        </w:rPr>
      </w:pPr>
    </w:p>
    <w:p w:rsidR="00AF7468" w:rsidRDefault="00AF7468" w:rsidP="007A13AF">
      <w:pPr>
        <w:pStyle w:val="Textoindependiente"/>
        <w:jc w:val="center"/>
        <w:rPr>
          <w:rFonts w:cs="Arial"/>
          <w:sz w:val="20"/>
          <w:lang w:val="es-MX"/>
        </w:rPr>
      </w:pPr>
    </w:p>
    <w:p w:rsidR="00103D33" w:rsidRDefault="00103D33" w:rsidP="007A13AF">
      <w:pPr>
        <w:pStyle w:val="Textoindependiente"/>
        <w:jc w:val="center"/>
        <w:rPr>
          <w:rFonts w:cs="Arial"/>
          <w:sz w:val="20"/>
          <w:lang w:val="es-MX"/>
        </w:rPr>
      </w:pPr>
    </w:p>
    <w:p w:rsidR="00103D33" w:rsidRPr="00C3108A" w:rsidRDefault="00103D33" w:rsidP="007A13AF">
      <w:pPr>
        <w:pStyle w:val="Textoindependiente"/>
        <w:jc w:val="center"/>
        <w:rPr>
          <w:rFonts w:cs="Arial"/>
          <w:sz w:val="20"/>
          <w:lang w:val="es-MX"/>
        </w:rPr>
      </w:pPr>
    </w:p>
    <w:p w:rsidR="00A1072A" w:rsidRPr="00C3108A" w:rsidRDefault="00A1072A" w:rsidP="00EA4435">
      <w:pPr>
        <w:jc w:val="both"/>
        <w:rPr>
          <w:rFonts w:ascii="Arial" w:hAnsi="Arial" w:cs="Arial"/>
          <w:sz w:val="16"/>
          <w:szCs w:val="16"/>
        </w:rPr>
      </w:pPr>
    </w:p>
    <w:p w:rsidR="00233670" w:rsidRDefault="007A13AF" w:rsidP="00414275">
      <w:pPr>
        <w:rPr>
          <w:rFonts w:ascii="Arial" w:hAnsi="Arial" w:cs="Arial"/>
          <w:sz w:val="16"/>
          <w:szCs w:val="16"/>
        </w:rPr>
      </w:pPr>
      <w:r w:rsidRPr="00C3108A">
        <w:rPr>
          <w:rFonts w:ascii="Arial" w:hAnsi="Arial" w:cs="Arial"/>
          <w:sz w:val="16"/>
          <w:szCs w:val="16"/>
        </w:rPr>
        <w:t>Ccp</w:t>
      </w:r>
      <w:r w:rsidR="000F174B">
        <w:rPr>
          <w:rFonts w:ascii="Arial" w:hAnsi="Arial" w:cs="Arial"/>
          <w:sz w:val="16"/>
          <w:szCs w:val="16"/>
        </w:rPr>
        <w:t xml:space="preserve">  </w:t>
      </w:r>
      <w:r w:rsidR="0079071E">
        <w:rPr>
          <w:rFonts w:ascii="Arial" w:hAnsi="Arial" w:cs="Arial"/>
          <w:sz w:val="16"/>
          <w:szCs w:val="16"/>
        </w:rPr>
        <w:t>Expediente</w:t>
      </w:r>
    </w:p>
    <w:p w:rsidR="00C21CFA" w:rsidRPr="00C3108A" w:rsidRDefault="00C21CFA" w:rsidP="00EA4435">
      <w:pPr>
        <w:jc w:val="both"/>
        <w:rPr>
          <w:rFonts w:ascii="Arial" w:hAnsi="Arial" w:cs="Arial"/>
          <w:sz w:val="16"/>
          <w:szCs w:val="16"/>
        </w:rPr>
      </w:pPr>
    </w:p>
    <w:sectPr w:rsidR="00C21CFA" w:rsidRPr="00C3108A" w:rsidSect="00483C83">
      <w:headerReference w:type="default" r:id="rId7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DEE" w:rsidRDefault="00BB1DEE">
      <w:r>
        <w:separator/>
      </w:r>
    </w:p>
  </w:endnote>
  <w:endnote w:type="continuationSeparator" w:id="1">
    <w:p w:rsidR="00BB1DEE" w:rsidRDefault="00BB1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DEE" w:rsidRDefault="00BB1DEE">
      <w:r>
        <w:separator/>
      </w:r>
    </w:p>
  </w:footnote>
  <w:footnote w:type="continuationSeparator" w:id="1">
    <w:p w:rsidR="00BB1DEE" w:rsidRDefault="00BB1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D9C" w:rsidRPr="005B698A" w:rsidRDefault="00862D9C" w:rsidP="00862D9C">
    <w:pPr>
      <w:jc w:val="center"/>
      <w:rPr>
        <w:rFonts w:ascii="Arial" w:hAnsi="Arial" w:cs="Arial"/>
        <w:sz w:val="16"/>
        <w:szCs w:val="16"/>
      </w:rPr>
    </w:pPr>
    <w:r w:rsidRPr="005B698A">
      <w:rPr>
        <w:rFonts w:ascii="Arial" w:hAnsi="Arial" w:cs="Arial"/>
        <w:sz w:val="16"/>
        <w:szCs w:val="16"/>
      </w:rPr>
      <w:t>“2010, Año de la Patria. Bicentenario del Inicio de la independencia y Centenario</w:t>
    </w:r>
  </w:p>
  <w:p w:rsidR="00862D9C" w:rsidRPr="005B698A" w:rsidRDefault="00862D9C" w:rsidP="00862D9C">
    <w:pPr>
      <w:jc w:val="center"/>
      <w:rPr>
        <w:rFonts w:ascii="Arial" w:hAnsi="Arial" w:cs="Arial"/>
        <w:sz w:val="16"/>
        <w:szCs w:val="16"/>
      </w:rPr>
    </w:pPr>
    <w:r w:rsidRPr="005B698A">
      <w:rPr>
        <w:rFonts w:ascii="Arial" w:hAnsi="Arial" w:cs="Arial"/>
        <w:sz w:val="16"/>
        <w:szCs w:val="16"/>
      </w:rPr>
      <w:t>del Inicio de la Revolución”</w:t>
    </w:r>
  </w:p>
  <w:p w:rsidR="00862D9C" w:rsidRDefault="00862D9C"/>
  <w:tbl>
    <w:tblPr>
      <w:tblStyle w:val="Tablaconcuadrcula"/>
      <w:tblW w:w="1080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3100"/>
      <w:gridCol w:w="7700"/>
    </w:tblGrid>
    <w:tr w:rsidR="007A7DB6">
      <w:trPr>
        <w:trHeight w:val="2157"/>
      </w:trPr>
      <w:tc>
        <w:tcPr>
          <w:tcW w:w="3100" w:type="dxa"/>
        </w:tcPr>
        <w:p w:rsidR="007A7DB6" w:rsidRDefault="007A7DB6">
          <w:pPr>
            <w:pStyle w:val="Encabezado"/>
            <w:rPr>
              <w:rFonts w:ascii="Verdana" w:hAnsi="Verdana"/>
              <w:sz w:val="15"/>
              <w:szCs w:val="15"/>
            </w:rPr>
          </w:pPr>
        </w:p>
        <w:p w:rsidR="007A7DB6" w:rsidRPr="002A1EBE" w:rsidRDefault="007A7DB6">
          <w:pPr>
            <w:pStyle w:val="Encabezado"/>
          </w:pPr>
        </w:p>
      </w:tc>
      <w:tc>
        <w:tcPr>
          <w:tcW w:w="7700" w:type="dxa"/>
        </w:tcPr>
        <w:p w:rsidR="007A7DB6" w:rsidRPr="002A1EBE" w:rsidRDefault="007A7DB6" w:rsidP="008B3DB2">
          <w:pPr>
            <w:pStyle w:val="Encabezado"/>
            <w:jc w:val="right"/>
            <w:rPr>
              <w:rFonts w:ascii="Arial" w:hAnsi="Arial" w:cs="Arial"/>
              <w:b/>
              <w:sz w:val="22"/>
              <w:szCs w:val="22"/>
            </w:rPr>
          </w:pPr>
        </w:p>
        <w:p w:rsidR="007A7DB6" w:rsidRPr="00DC45E3" w:rsidRDefault="007A7DB6" w:rsidP="008B3DB2">
          <w:pPr>
            <w:pStyle w:val="Encabezado"/>
            <w:jc w:val="right"/>
            <w:rPr>
              <w:rFonts w:ascii="Arial" w:hAnsi="Arial" w:cs="Vrinda"/>
              <w:sz w:val="16"/>
              <w:szCs w:val="16"/>
            </w:rPr>
          </w:pPr>
        </w:p>
        <w:p w:rsidR="007A7DB6" w:rsidRDefault="007A7DB6" w:rsidP="005F3351">
          <w:pPr>
            <w:pStyle w:val="Encabezado"/>
            <w:jc w:val="right"/>
            <w:rPr>
              <w:rFonts w:ascii="Arial" w:hAnsi="Arial" w:cs="Vrinda"/>
              <w:sz w:val="22"/>
              <w:szCs w:val="22"/>
            </w:rPr>
          </w:pPr>
          <w:r w:rsidRPr="002A1EBE">
            <w:rPr>
              <w:rFonts w:ascii="Arial" w:hAnsi="Arial" w:cs="Vrinda"/>
              <w:sz w:val="22"/>
              <w:szCs w:val="22"/>
            </w:rPr>
            <w:t xml:space="preserve">        Subdirección de Recursos Materiales y Servicios</w:t>
          </w:r>
        </w:p>
        <w:p w:rsidR="007A7DB6" w:rsidRPr="002A1EBE" w:rsidRDefault="007A7DB6" w:rsidP="005F3351">
          <w:pPr>
            <w:pStyle w:val="Encabezado"/>
            <w:jc w:val="right"/>
            <w:rPr>
              <w:rFonts w:ascii="Arial" w:hAnsi="Arial" w:cs="Vrinda"/>
              <w:sz w:val="22"/>
              <w:szCs w:val="22"/>
            </w:rPr>
          </w:pPr>
          <w:r>
            <w:rPr>
              <w:rFonts w:ascii="Arial" w:hAnsi="Arial" w:cs="Vrinda"/>
              <w:sz w:val="22"/>
              <w:szCs w:val="22"/>
            </w:rPr>
            <w:t xml:space="preserve">Departamento de Obras y Mantenimiento </w:t>
          </w:r>
        </w:p>
        <w:p w:rsidR="007A7DB6" w:rsidRPr="002A1EBE" w:rsidRDefault="007A7DB6" w:rsidP="00DE674E">
          <w:pPr>
            <w:pStyle w:val="Encabezado"/>
            <w:tabs>
              <w:tab w:val="left" w:pos="612"/>
              <w:tab w:val="right" w:pos="6160"/>
            </w:tabs>
            <w:jc w:val="right"/>
            <w:rPr>
              <w:rFonts w:ascii="Arial" w:hAnsi="Arial" w:cs="Vrinda"/>
              <w:sz w:val="22"/>
              <w:szCs w:val="22"/>
            </w:rPr>
          </w:pPr>
          <w:r w:rsidRPr="002A1EBE">
            <w:rPr>
              <w:rFonts w:ascii="Arial" w:hAnsi="Arial" w:cs="Vrinda"/>
              <w:sz w:val="22"/>
              <w:szCs w:val="22"/>
            </w:rPr>
            <w:tab/>
          </w:r>
          <w:r w:rsidRPr="002A1EBE">
            <w:rPr>
              <w:rFonts w:ascii="Arial" w:hAnsi="Arial" w:cs="Vrinda"/>
              <w:sz w:val="22"/>
              <w:szCs w:val="22"/>
            </w:rPr>
            <w:tab/>
          </w:r>
          <w:r w:rsidR="00623039">
            <w:rPr>
              <w:rFonts w:ascii="Arial" w:hAnsi="Arial" w:cs="Vrinda"/>
              <w:sz w:val="22"/>
              <w:szCs w:val="22"/>
            </w:rPr>
            <w:t>Invitación 02</w:t>
          </w:r>
          <w:r w:rsidRPr="002A1EBE">
            <w:rPr>
              <w:rFonts w:ascii="Arial" w:hAnsi="Arial" w:cs="Vrinda"/>
              <w:sz w:val="22"/>
              <w:szCs w:val="22"/>
            </w:rPr>
            <w:t>´</w:t>
          </w:r>
          <w:r>
            <w:rPr>
              <w:rFonts w:ascii="Arial" w:hAnsi="Arial" w:cs="Vrinda"/>
              <w:sz w:val="22"/>
              <w:szCs w:val="22"/>
            </w:rPr>
            <w:t>10</w:t>
          </w:r>
        </w:p>
        <w:p w:rsidR="007A7DB6" w:rsidRPr="002A1EBE" w:rsidRDefault="007A7DB6" w:rsidP="008B3DB2">
          <w:pPr>
            <w:pStyle w:val="Encabezado"/>
            <w:jc w:val="right"/>
            <w:rPr>
              <w:rFonts w:ascii="Arial" w:hAnsi="Arial" w:cs="Vrinda"/>
              <w:sz w:val="22"/>
              <w:szCs w:val="22"/>
            </w:rPr>
          </w:pPr>
        </w:p>
        <w:p w:rsidR="007A7DB6" w:rsidRPr="002A1EBE" w:rsidRDefault="007A7DB6" w:rsidP="00623039">
          <w:pPr>
            <w:pStyle w:val="Encabezado"/>
            <w:jc w:val="right"/>
            <w:rPr>
              <w:rFonts w:ascii="Arial" w:hAnsi="Arial" w:cs="Arial"/>
              <w:b/>
              <w:sz w:val="22"/>
              <w:szCs w:val="22"/>
            </w:rPr>
          </w:pPr>
          <w:r w:rsidRPr="002A1EBE">
            <w:rPr>
              <w:rFonts w:ascii="Arial" w:hAnsi="Arial" w:cs="Vrinda"/>
              <w:sz w:val="22"/>
              <w:szCs w:val="22"/>
            </w:rPr>
            <w:t xml:space="preserve">Fecha:  </w:t>
          </w:r>
          <w:r w:rsidR="00623039">
            <w:rPr>
              <w:rFonts w:ascii="Arial" w:hAnsi="Arial" w:cs="Vrinda"/>
              <w:sz w:val="22"/>
              <w:szCs w:val="22"/>
            </w:rPr>
            <w:t>26</w:t>
          </w:r>
          <w:r w:rsidRPr="002A1EBE">
            <w:rPr>
              <w:rFonts w:ascii="Arial" w:hAnsi="Arial" w:cs="Vrinda"/>
              <w:sz w:val="22"/>
              <w:szCs w:val="22"/>
            </w:rPr>
            <w:t xml:space="preserve"> de </w:t>
          </w:r>
          <w:r>
            <w:rPr>
              <w:rFonts w:ascii="Arial" w:hAnsi="Arial" w:cs="Vrinda"/>
              <w:sz w:val="22"/>
              <w:szCs w:val="22"/>
            </w:rPr>
            <w:t>mayo del 2</w:t>
          </w:r>
          <w:r w:rsidRPr="002A1EBE">
            <w:rPr>
              <w:rFonts w:ascii="Arial" w:hAnsi="Arial" w:cs="Vrinda"/>
              <w:sz w:val="22"/>
              <w:szCs w:val="22"/>
            </w:rPr>
            <w:t>0</w:t>
          </w:r>
          <w:r>
            <w:rPr>
              <w:rFonts w:ascii="Arial" w:hAnsi="Arial" w:cs="Vrinda"/>
              <w:sz w:val="22"/>
              <w:szCs w:val="22"/>
            </w:rPr>
            <w:t>10</w:t>
          </w:r>
          <w:r w:rsidRPr="002A1EBE">
            <w:rPr>
              <w:rFonts w:ascii="Arial" w:hAnsi="Arial" w:cs="Vrinda"/>
              <w:sz w:val="22"/>
              <w:szCs w:val="22"/>
            </w:rPr>
            <w:t>.</w:t>
          </w:r>
        </w:p>
      </w:tc>
    </w:tr>
  </w:tbl>
  <w:p w:rsidR="007A7DB6" w:rsidRDefault="007A7DB6" w:rsidP="008B28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4CB"/>
    <w:multiLevelType w:val="hybridMultilevel"/>
    <w:tmpl w:val="76F06C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92231"/>
    <w:multiLevelType w:val="hybridMultilevel"/>
    <w:tmpl w:val="CB08689C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1B26EE4"/>
    <w:multiLevelType w:val="hybridMultilevel"/>
    <w:tmpl w:val="E0F0F6EE"/>
    <w:lvl w:ilvl="0" w:tplc="A31C04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7C763F00">
      <w:numFmt w:val="none"/>
      <w:lvlText w:val=""/>
      <w:lvlJc w:val="left"/>
      <w:pPr>
        <w:tabs>
          <w:tab w:val="num" w:pos="360"/>
        </w:tabs>
      </w:pPr>
    </w:lvl>
    <w:lvl w:ilvl="2" w:tplc="5AF28A64">
      <w:numFmt w:val="none"/>
      <w:lvlText w:val=""/>
      <w:lvlJc w:val="left"/>
      <w:pPr>
        <w:tabs>
          <w:tab w:val="num" w:pos="360"/>
        </w:tabs>
      </w:pPr>
    </w:lvl>
    <w:lvl w:ilvl="3" w:tplc="B840160A">
      <w:numFmt w:val="none"/>
      <w:lvlText w:val=""/>
      <w:lvlJc w:val="left"/>
      <w:pPr>
        <w:tabs>
          <w:tab w:val="num" w:pos="360"/>
        </w:tabs>
      </w:pPr>
    </w:lvl>
    <w:lvl w:ilvl="4" w:tplc="C9A67A68">
      <w:numFmt w:val="none"/>
      <w:lvlText w:val=""/>
      <w:lvlJc w:val="left"/>
      <w:pPr>
        <w:tabs>
          <w:tab w:val="num" w:pos="360"/>
        </w:tabs>
      </w:pPr>
    </w:lvl>
    <w:lvl w:ilvl="5" w:tplc="6F1C1F94">
      <w:numFmt w:val="none"/>
      <w:lvlText w:val=""/>
      <w:lvlJc w:val="left"/>
      <w:pPr>
        <w:tabs>
          <w:tab w:val="num" w:pos="360"/>
        </w:tabs>
      </w:pPr>
    </w:lvl>
    <w:lvl w:ilvl="6" w:tplc="EE722712">
      <w:numFmt w:val="none"/>
      <w:lvlText w:val=""/>
      <w:lvlJc w:val="left"/>
      <w:pPr>
        <w:tabs>
          <w:tab w:val="num" w:pos="360"/>
        </w:tabs>
      </w:pPr>
    </w:lvl>
    <w:lvl w:ilvl="7" w:tplc="2786C87A">
      <w:numFmt w:val="none"/>
      <w:lvlText w:val=""/>
      <w:lvlJc w:val="left"/>
      <w:pPr>
        <w:tabs>
          <w:tab w:val="num" w:pos="360"/>
        </w:tabs>
      </w:pPr>
    </w:lvl>
    <w:lvl w:ilvl="8" w:tplc="7A626C8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6C6146"/>
    <w:multiLevelType w:val="hybridMultilevel"/>
    <w:tmpl w:val="07CC9D9E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2B2E3C4E"/>
    <w:multiLevelType w:val="hybridMultilevel"/>
    <w:tmpl w:val="8B9C54D2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3DFB7DCB"/>
    <w:multiLevelType w:val="hybridMultilevel"/>
    <w:tmpl w:val="5BDA4210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2F02C2C"/>
    <w:multiLevelType w:val="hybridMultilevel"/>
    <w:tmpl w:val="86169AB2"/>
    <w:lvl w:ilvl="0" w:tplc="BA04E05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>
    <w:nsid w:val="45407C63"/>
    <w:multiLevelType w:val="hybridMultilevel"/>
    <w:tmpl w:val="7F08E622"/>
    <w:lvl w:ilvl="0" w:tplc="42E82136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4A6E1579"/>
    <w:multiLevelType w:val="hybridMultilevel"/>
    <w:tmpl w:val="EBB29356"/>
    <w:lvl w:ilvl="0" w:tplc="2F6EE9C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A92445"/>
    <w:multiLevelType w:val="hybridMultilevel"/>
    <w:tmpl w:val="9E00D0AE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FBB6D50"/>
    <w:multiLevelType w:val="hybridMultilevel"/>
    <w:tmpl w:val="E1BA3D6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0521F37"/>
    <w:multiLevelType w:val="hybridMultilevel"/>
    <w:tmpl w:val="76B0D288"/>
    <w:lvl w:ilvl="0" w:tplc="0C0A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7E8295E"/>
    <w:multiLevelType w:val="hybridMultilevel"/>
    <w:tmpl w:val="555ACB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9431D"/>
    <w:multiLevelType w:val="hybridMultilevel"/>
    <w:tmpl w:val="C5721CA4"/>
    <w:lvl w:ilvl="0" w:tplc="5AEECB02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4">
    <w:nsid w:val="61251D35"/>
    <w:multiLevelType w:val="hybridMultilevel"/>
    <w:tmpl w:val="DF46282C"/>
    <w:lvl w:ilvl="0" w:tplc="DB3289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1254A"/>
    <w:multiLevelType w:val="hybridMultilevel"/>
    <w:tmpl w:val="7B726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706334"/>
    <w:multiLevelType w:val="hybridMultilevel"/>
    <w:tmpl w:val="0D3E68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0746364"/>
    <w:multiLevelType w:val="hybridMultilevel"/>
    <w:tmpl w:val="A36CE1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3545F9"/>
    <w:multiLevelType w:val="hybridMultilevel"/>
    <w:tmpl w:val="016875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8"/>
  </w:num>
  <w:num w:numId="12">
    <w:abstractNumId w:val="18"/>
  </w:num>
  <w:num w:numId="13">
    <w:abstractNumId w:val="12"/>
  </w:num>
  <w:num w:numId="14">
    <w:abstractNumId w:val="17"/>
  </w:num>
  <w:num w:numId="15">
    <w:abstractNumId w:val="16"/>
  </w:num>
  <w:num w:numId="16">
    <w:abstractNumId w:val="6"/>
  </w:num>
  <w:num w:numId="17">
    <w:abstractNumId w:val="0"/>
  </w:num>
  <w:num w:numId="18">
    <w:abstractNumId w:val="14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DB2"/>
    <w:rsid w:val="000059B5"/>
    <w:rsid w:val="00020740"/>
    <w:rsid w:val="00030941"/>
    <w:rsid w:val="00033075"/>
    <w:rsid w:val="000446EF"/>
    <w:rsid w:val="00047AE6"/>
    <w:rsid w:val="000574C1"/>
    <w:rsid w:val="000642A8"/>
    <w:rsid w:val="00070A06"/>
    <w:rsid w:val="00075802"/>
    <w:rsid w:val="000A31E3"/>
    <w:rsid w:val="000B056F"/>
    <w:rsid w:val="000E277E"/>
    <w:rsid w:val="000E29A5"/>
    <w:rsid w:val="000E46F1"/>
    <w:rsid w:val="000F174B"/>
    <w:rsid w:val="00103D33"/>
    <w:rsid w:val="00141420"/>
    <w:rsid w:val="00150FAF"/>
    <w:rsid w:val="00165399"/>
    <w:rsid w:val="00186C35"/>
    <w:rsid w:val="001879DF"/>
    <w:rsid w:val="001955EB"/>
    <w:rsid w:val="001C03E3"/>
    <w:rsid w:val="001F0A84"/>
    <w:rsid w:val="001F1590"/>
    <w:rsid w:val="001F2EFC"/>
    <w:rsid w:val="002002EB"/>
    <w:rsid w:val="00233670"/>
    <w:rsid w:val="00257D0D"/>
    <w:rsid w:val="002604E7"/>
    <w:rsid w:val="00262403"/>
    <w:rsid w:val="002668C6"/>
    <w:rsid w:val="00271466"/>
    <w:rsid w:val="00275A91"/>
    <w:rsid w:val="00283ADD"/>
    <w:rsid w:val="00286BFD"/>
    <w:rsid w:val="00296C9D"/>
    <w:rsid w:val="002A1EBE"/>
    <w:rsid w:val="002C6C45"/>
    <w:rsid w:val="002D5BDE"/>
    <w:rsid w:val="002F1D2E"/>
    <w:rsid w:val="002F327E"/>
    <w:rsid w:val="002F4B55"/>
    <w:rsid w:val="00302CD0"/>
    <w:rsid w:val="00304C2E"/>
    <w:rsid w:val="00305134"/>
    <w:rsid w:val="00364121"/>
    <w:rsid w:val="00366D34"/>
    <w:rsid w:val="0037184E"/>
    <w:rsid w:val="003728E0"/>
    <w:rsid w:val="00374C91"/>
    <w:rsid w:val="003A29B0"/>
    <w:rsid w:val="003A2C85"/>
    <w:rsid w:val="003D4B94"/>
    <w:rsid w:val="003F772F"/>
    <w:rsid w:val="00404066"/>
    <w:rsid w:val="0040498C"/>
    <w:rsid w:val="00414275"/>
    <w:rsid w:val="00422FD3"/>
    <w:rsid w:val="004276AB"/>
    <w:rsid w:val="0044501E"/>
    <w:rsid w:val="00456452"/>
    <w:rsid w:val="00470C2D"/>
    <w:rsid w:val="00483C83"/>
    <w:rsid w:val="00495E27"/>
    <w:rsid w:val="00497938"/>
    <w:rsid w:val="004A1C91"/>
    <w:rsid w:val="004B1A1B"/>
    <w:rsid w:val="004C4B68"/>
    <w:rsid w:val="004C6FD4"/>
    <w:rsid w:val="004E7325"/>
    <w:rsid w:val="00532419"/>
    <w:rsid w:val="00540FF6"/>
    <w:rsid w:val="005431CF"/>
    <w:rsid w:val="00547569"/>
    <w:rsid w:val="00577B0E"/>
    <w:rsid w:val="00581233"/>
    <w:rsid w:val="005A33B9"/>
    <w:rsid w:val="005A58CC"/>
    <w:rsid w:val="005B698A"/>
    <w:rsid w:val="005F3351"/>
    <w:rsid w:val="00601C6B"/>
    <w:rsid w:val="00607FAC"/>
    <w:rsid w:val="006155FF"/>
    <w:rsid w:val="006219D6"/>
    <w:rsid w:val="00623039"/>
    <w:rsid w:val="00623E79"/>
    <w:rsid w:val="006371D3"/>
    <w:rsid w:val="00644F0D"/>
    <w:rsid w:val="00647778"/>
    <w:rsid w:val="00662E8E"/>
    <w:rsid w:val="00671D6C"/>
    <w:rsid w:val="00673B22"/>
    <w:rsid w:val="00697F47"/>
    <w:rsid w:val="006C148D"/>
    <w:rsid w:val="006C3194"/>
    <w:rsid w:val="006C722C"/>
    <w:rsid w:val="006D5342"/>
    <w:rsid w:val="006D55A3"/>
    <w:rsid w:val="0071541F"/>
    <w:rsid w:val="0073105D"/>
    <w:rsid w:val="007329BF"/>
    <w:rsid w:val="007366AB"/>
    <w:rsid w:val="00764F2E"/>
    <w:rsid w:val="00766656"/>
    <w:rsid w:val="0079071E"/>
    <w:rsid w:val="0079519E"/>
    <w:rsid w:val="007A13AF"/>
    <w:rsid w:val="007A7DB6"/>
    <w:rsid w:val="007B0331"/>
    <w:rsid w:val="007B0391"/>
    <w:rsid w:val="007B0543"/>
    <w:rsid w:val="007E27AA"/>
    <w:rsid w:val="007F3AA7"/>
    <w:rsid w:val="007F4120"/>
    <w:rsid w:val="00817929"/>
    <w:rsid w:val="008306E9"/>
    <w:rsid w:val="00862D9C"/>
    <w:rsid w:val="00863F84"/>
    <w:rsid w:val="0086444A"/>
    <w:rsid w:val="00873DB6"/>
    <w:rsid w:val="008852DE"/>
    <w:rsid w:val="008908E9"/>
    <w:rsid w:val="00896861"/>
    <w:rsid w:val="008A361E"/>
    <w:rsid w:val="008A4E13"/>
    <w:rsid w:val="008B28C1"/>
    <w:rsid w:val="008B3DB2"/>
    <w:rsid w:val="008E5750"/>
    <w:rsid w:val="008F66AE"/>
    <w:rsid w:val="00904962"/>
    <w:rsid w:val="0091359C"/>
    <w:rsid w:val="00922E77"/>
    <w:rsid w:val="009246C1"/>
    <w:rsid w:val="00924E94"/>
    <w:rsid w:val="00936F6F"/>
    <w:rsid w:val="009413AD"/>
    <w:rsid w:val="00955D73"/>
    <w:rsid w:val="00957C25"/>
    <w:rsid w:val="00961324"/>
    <w:rsid w:val="00982824"/>
    <w:rsid w:val="009C350F"/>
    <w:rsid w:val="009E628A"/>
    <w:rsid w:val="00A04C92"/>
    <w:rsid w:val="00A057B0"/>
    <w:rsid w:val="00A065EA"/>
    <w:rsid w:val="00A1072A"/>
    <w:rsid w:val="00A14868"/>
    <w:rsid w:val="00A40244"/>
    <w:rsid w:val="00A54EA1"/>
    <w:rsid w:val="00A615FB"/>
    <w:rsid w:val="00A7430B"/>
    <w:rsid w:val="00A76114"/>
    <w:rsid w:val="00A774D3"/>
    <w:rsid w:val="00A81567"/>
    <w:rsid w:val="00A9549F"/>
    <w:rsid w:val="00AC5770"/>
    <w:rsid w:val="00AE5096"/>
    <w:rsid w:val="00AF0B6E"/>
    <w:rsid w:val="00AF2F14"/>
    <w:rsid w:val="00AF479A"/>
    <w:rsid w:val="00AF7468"/>
    <w:rsid w:val="00B05091"/>
    <w:rsid w:val="00B078E1"/>
    <w:rsid w:val="00B10BB8"/>
    <w:rsid w:val="00B26798"/>
    <w:rsid w:val="00B27F98"/>
    <w:rsid w:val="00B37DCA"/>
    <w:rsid w:val="00B523BC"/>
    <w:rsid w:val="00B723DA"/>
    <w:rsid w:val="00B81072"/>
    <w:rsid w:val="00BA0BC2"/>
    <w:rsid w:val="00BA38A8"/>
    <w:rsid w:val="00BB1DEE"/>
    <w:rsid w:val="00BB201B"/>
    <w:rsid w:val="00BE5842"/>
    <w:rsid w:val="00BF4632"/>
    <w:rsid w:val="00BF58BD"/>
    <w:rsid w:val="00BF6E39"/>
    <w:rsid w:val="00C01A45"/>
    <w:rsid w:val="00C151A9"/>
    <w:rsid w:val="00C21CFA"/>
    <w:rsid w:val="00C3108A"/>
    <w:rsid w:val="00C41214"/>
    <w:rsid w:val="00C60F53"/>
    <w:rsid w:val="00C6202F"/>
    <w:rsid w:val="00C63C00"/>
    <w:rsid w:val="00C817D9"/>
    <w:rsid w:val="00C863BA"/>
    <w:rsid w:val="00C90247"/>
    <w:rsid w:val="00CB15B6"/>
    <w:rsid w:val="00CD68C5"/>
    <w:rsid w:val="00D22D8E"/>
    <w:rsid w:val="00D27295"/>
    <w:rsid w:val="00D34D59"/>
    <w:rsid w:val="00D408BB"/>
    <w:rsid w:val="00DC2D89"/>
    <w:rsid w:val="00DC45E3"/>
    <w:rsid w:val="00DD4DBF"/>
    <w:rsid w:val="00DE674E"/>
    <w:rsid w:val="00E159A5"/>
    <w:rsid w:val="00E16F51"/>
    <w:rsid w:val="00E230F1"/>
    <w:rsid w:val="00E3590C"/>
    <w:rsid w:val="00E52387"/>
    <w:rsid w:val="00E5686C"/>
    <w:rsid w:val="00E65288"/>
    <w:rsid w:val="00E85AFA"/>
    <w:rsid w:val="00E90405"/>
    <w:rsid w:val="00EA4435"/>
    <w:rsid w:val="00EA48FD"/>
    <w:rsid w:val="00EB4755"/>
    <w:rsid w:val="00ED0883"/>
    <w:rsid w:val="00F12DFC"/>
    <w:rsid w:val="00F25406"/>
    <w:rsid w:val="00F355D0"/>
    <w:rsid w:val="00F43CF0"/>
    <w:rsid w:val="00F46AB6"/>
    <w:rsid w:val="00F72A1B"/>
    <w:rsid w:val="00F75D79"/>
    <w:rsid w:val="00F87D96"/>
    <w:rsid w:val="00F94331"/>
    <w:rsid w:val="00FA2DE7"/>
    <w:rsid w:val="00FB0D1C"/>
    <w:rsid w:val="00F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59C"/>
    <w:rPr>
      <w:lang w:val="es-MX" w:eastAsia="es-ES"/>
    </w:rPr>
  </w:style>
  <w:style w:type="paragraph" w:styleId="Ttulo5">
    <w:name w:val="heading 5"/>
    <w:basedOn w:val="Normal"/>
    <w:next w:val="Normal"/>
    <w:qFormat/>
    <w:rsid w:val="0091359C"/>
    <w:pPr>
      <w:keepNext/>
      <w:outlineLvl w:val="4"/>
    </w:pPr>
    <w:rPr>
      <w:b/>
      <w:bCs/>
      <w:sz w:val="22"/>
    </w:rPr>
  </w:style>
  <w:style w:type="paragraph" w:styleId="Ttulo8">
    <w:name w:val="heading 8"/>
    <w:basedOn w:val="Normal"/>
    <w:next w:val="Normal"/>
    <w:qFormat/>
    <w:rsid w:val="0091359C"/>
    <w:pPr>
      <w:keepNext/>
      <w:jc w:val="center"/>
      <w:outlineLvl w:val="7"/>
    </w:pPr>
    <w:rPr>
      <w:rFonts w:ascii="Lucida Sans" w:hAnsi="Lucida Sans"/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8B3DB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B3DB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B3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rsid w:val="007A13AF"/>
    <w:pPr>
      <w:widowControl w:val="0"/>
      <w:jc w:val="both"/>
    </w:pPr>
    <w:rPr>
      <w:rFonts w:ascii="Arial" w:hAnsi="Arial"/>
      <w:sz w:val="24"/>
      <w:lang w:val="es-ES"/>
    </w:rPr>
  </w:style>
  <w:style w:type="paragraph" w:styleId="Ttulo">
    <w:name w:val="Title"/>
    <w:basedOn w:val="Normal"/>
    <w:qFormat/>
    <w:rsid w:val="007A13AF"/>
    <w:pPr>
      <w:jc w:val="center"/>
    </w:pPr>
    <w:rPr>
      <w:rFonts w:ascii="Arial" w:hAnsi="Arial"/>
      <w:b/>
      <w:bCs/>
      <w:sz w:val="28"/>
    </w:rPr>
  </w:style>
  <w:style w:type="paragraph" w:styleId="Textodeglobo">
    <w:name w:val="Balloon Text"/>
    <w:basedOn w:val="Normal"/>
    <w:semiHidden/>
    <w:rsid w:val="00266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PARA:    LIC</vt:lpstr>
    </vt:vector>
  </TitlesOfParts>
  <Company> cicese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PARA:    LIC</dc:title>
  <dc:subject/>
  <dc:creator>Socorro Lomeli</dc:creator>
  <cp:keywords/>
  <dc:description/>
  <cp:lastModifiedBy>Sonia Ensaldo</cp:lastModifiedBy>
  <cp:revision>3</cp:revision>
  <cp:lastPrinted>2010-05-20T21:45:00Z</cp:lastPrinted>
  <dcterms:created xsi:type="dcterms:W3CDTF">2010-05-21T17:17:00Z</dcterms:created>
  <dcterms:modified xsi:type="dcterms:W3CDTF">2010-05-21T17:36:00Z</dcterms:modified>
</cp:coreProperties>
</file>